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exact" w:line="1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exact" w:line="1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Уведомление</w:t>
      </w:r>
    </w:p>
    <w:p>
      <w:pPr>
        <w:pStyle w:val="Normal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проведении публичных консультаций посредством сбора замечаний и предложений организаций и граждан в рамках анализа проекта</w:t>
      </w:r>
    </w:p>
    <w:p>
      <w:pPr>
        <w:pStyle w:val="Normal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нормативного правового акта на предмет его влияния на конкуренцию</w:t>
      </w:r>
    </w:p>
    <w:p>
      <w:pPr>
        <w:pStyle w:val="Normal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tbl>
      <w:tblPr>
        <w:tblStyle w:val="a6"/>
        <w:tblW w:w="974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747"/>
      </w:tblGrid>
      <w:tr>
        <w:trPr>
          <w:trHeight w:val="2490" w:hRule="atLeast"/>
        </w:trPr>
        <w:tc>
          <w:tcPr>
            <w:tcW w:w="9747" w:type="dxa"/>
            <w:tcBorders/>
          </w:tcPr>
          <w:p>
            <w:pPr>
              <w:pStyle w:val="Normal"/>
              <w:pBdr>
                <w:bottom w:val="single" w:sz="12" w:space="1" w:color="000000"/>
              </w:pBdr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 xml:space="preserve">Управление </w:t>
            </w: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 xml:space="preserve">АПК и </w:t>
            </w: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 xml:space="preserve">экономического развития </w:t>
            </w: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>Красногвардейского муниципального округа Администрации Красногвардейского муниципального округа</w:t>
            </w: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 xml:space="preserve"> Белгородской области</w:t>
            </w:r>
          </w:p>
          <w:p>
            <w:pPr>
              <w:pStyle w:val="Normal"/>
              <w:spacing w:before="0" w:after="0"/>
              <w:ind w:right="175"/>
              <w:jc w:val="both"/>
              <w:rPr>
                <w:sz w:val="24"/>
                <w:szCs w:val="24"/>
              </w:rPr>
            </w:pP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 xml:space="preserve">уведомляет о проведении публичных консультаций посредством сбора замечаний и предложений организаций и граждан по проекту постановления </w:t>
            </w: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>А</w:t>
            </w: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 xml:space="preserve">дминистрации Красногвардейского </w:t>
            </w: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>муниципального округа</w:t>
            </w: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 xml:space="preserve"> «О внесении изменений в постановление </w:t>
            </w: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>А</w:t>
            </w: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 xml:space="preserve">дминистрации </w:t>
            </w: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>муниципального округа</w:t>
            </w: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 xml:space="preserve"> от 24 декабря 2024 года № 152 «Об утверждении муниципальной программы «Развитие экономического потенциала и формирование благоприятного предпринимательского климата в Красногвардейском </w:t>
            </w: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>муниципальном округе</w:t>
            </w: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>» на предмет его влияния на конкуренцию</w:t>
            </w:r>
          </w:p>
        </w:tc>
      </w:tr>
      <w:tr>
        <w:trPr/>
        <w:tc>
          <w:tcPr>
            <w:tcW w:w="9747" w:type="dxa"/>
            <w:tcBorders/>
          </w:tcPr>
          <w:p>
            <w:pPr>
              <w:pStyle w:val="Normal"/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5" w:color="000000"/>
              </w:pBdr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 xml:space="preserve">В рамках публичных консультаций все заинтересованные лица могут направить свои замечания и предложения по проекту нормативного правового акта </w:t>
            </w:r>
            <w:r>
              <w:rPr>
                <w:rFonts w:eastAsia=""/>
                <w:bCs/>
                <w:kern w:val="0"/>
                <w:sz w:val="24"/>
                <w:szCs w:val="24"/>
                <w:lang w:val="ru-RU" w:eastAsia="ru-RU" w:bidi="ar-SA"/>
              </w:rPr>
              <w:t>на предмет его влияния на конкуренцию</w:t>
            </w: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>.</w:t>
            </w:r>
          </w:p>
          <w:p>
            <w:pPr>
              <w:pStyle w:val="Normal"/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5" w:color="000000"/>
              </w:pBdr>
              <w:spacing w:before="0" w:after="0"/>
              <w:jc w:val="both"/>
              <w:rPr>
                <w:sz w:val="24"/>
                <w:szCs w:val="24"/>
                <w:u w:val="single"/>
              </w:rPr>
            </w:pP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 xml:space="preserve">Замечания и предложения принимаются по адресу: 309920, Красногвардейский район, г. Бирюч, пл. Соборная, д. 1, а также по адресу электронной почты: </w:t>
            </w:r>
            <w:hyperlink r:id="rId2">
              <w:r>
                <w:rPr>
                  <w:rStyle w:val="Hyperlink"/>
                  <w:rFonts w:eastAsia=""/>
                  <w:kern w:val="0"/>
                  <w:sz w:val="24"/>
                  <w:szCs w:val="24"/>
                  <w:u w:val="single"/>
                  <w:lang w:val="en-US" w:eastAsia="ru-RU" w:bidi="ar-SA"/>
                </w:rPr>
                <w:t>ekonomika.statmo30@yandex</w:t>
              </w:r>
              <w:r>
                <w:rPr>
                  <w:rStyle w:val="Hyperlink"/>
                  <w:rFonts w:eastAsia=""/>
                  <w:kern w:val="0"/>
                  <w:sz w:val="24"/>
                  <w:szCs w:val="24"/>
                  <w:u w:val="single"/>
                  <w:lang w:val="ru-RU" w:eastAsia="ru-RU" w:bidi="ar-SA"/>
                </w:rPr>
                <w:t>.ru</w:t>
              </w:r>
            </w:hyperlink>
            <w:r>
              <w:rPr>
                <w:rFonts w:eastAsia=""/>
                <w:kern w:val="0"/>
                <w:sz w:val="24"/>
                <w:szCs w:val="24"/>
                <w:u w:val="single"/>
                <w:lang w:val="ru-RU" w:eastAsia="ru-RU" w:bidi="ar-SA"/>
              </w:rPr>
              <w:t>.</w:t>
            </w:r>
          </w:p>
          <w:p>
            <w:pPr>
              <w:pStyle w:val="Normal"/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5" w:color="000000"/>
              </w:pBdr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 xml:space="preserve">Сроки приема замечаний и предложений: с </w:t>
            </w: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>20 апреля</w:t>
            </w: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 xml:space="preserve"> 202</w:t>
            </w: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>6</w:t>
            </w: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 xml:space="preserve"> года по </w:t>
            </w: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>30</w:t>
            </w: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>апрел</w:t>
            </w: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>я 202</w:t>
            </w: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>6</w:t>
            </w: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 xml:space="preserve"> года</w:t>
            </w:r>
          </w:p>
          <w:p>
            <w:pPr>
              <w:pStyle w:val="Normal"/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5" w:color="000000"/>
              </w:pBdr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 xml:space="preserve">С учетом анализа поступивших замечаний и предложений будет подготовлен сводный доклад о результатах анализа проекта нормативных правовых актов </w:t>
            </w: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>А</w:t>
            </w:r>
            <w:r>
              <w:rPr>
                <w:rFonts w:eastAsia="Times New Roman"/>
                <w:kern w:val="0"/>
                <w:sz w:val="24"/>
                <w:szCs w:val="24"/>
                <w:lang w:val="ru-RU" w:eastAsia="ru-RU" w:bidi="ar-SA"/>
              </w:rPr>
              <w:t xml:space="preserve">дминистрации Красногвардейского </w:t>
            </w: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>муниципального округа</w:t>
            </w: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 xml:space="preserve"> на предмет выявления рисков нарушения антимонопольного законодательства за 202</w:t>
            </w: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>6</w:t>
            </w: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 xml:space="preserve"> год, который до 10.02.202</w:t>
            </w: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>7</w:t>
            </w: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 xml:space="preserve"> года в составе ежегодного доклада об антимонопольном комплаенсе будет размещен на официальном сайте ОМСУ Красногвардейского </w:t>
            </w: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>муниципального округа</w:t>
            </w: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 xml:space="preserve"> в разделе «Антимонопольный комплаенс».</w:t>
            </w:r>
          </w:p>
          <w:p>
            <w:pPr>
              <w:pStyle w:val="Normal"/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5" w:color="000000"/>
              </w:pBdr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</w:r>
          </w:p>
          <w:p>
            <w:pPr>
              <w:pStyle w:val="Normal"/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5" w:color="000000"/>
              </w:pBdr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>К уведомлению прилагаются:</w:t>
            </w:r>
          </w:p>
          <w:p>
            <w:pPr>
              <w:pStyle w:val="Normal"/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5" w:color="000000"/>
              </w:pBdr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 xml:space="preserve">1. Анкета участника публичных консультаций в формате </w:t>
            </w:r>
            <w:r>
              <w:rPr>
                <w:rFonts w:eastAsia=""/>
                <w:kern w:val="0"/>
                <w:sz w:val="24"/>
                <w:szCs w:val="24"/>
                <w:lang w:val="en-US" w:eastAsia="ru-RU" w:bidi="ar-SA"/>
              </w:rPr>
              <w:t>word</w:t>
            </w: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>.</w:t>
            </w:r>
          </w:p>
          <w:p>
            <w:pPr>
              <w:pStyle w:val="Normal"/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5" w:color="000000"/>
              </w:pBdr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 xml:space="preserve">2. Текст проекта нормативного правового акта в формате </w:t>
            </w:r>
            <w:r>
              <w:rPr>
                <w:rFonts w:eastAsia=""/>
                <w:kern w:val="0"/>
                <w:sz w:val="24"/>
                <w:szCs w:val="24"/>
                <w:lang w:val="en-US" w:eastAsia="ru-RU" w:bidi="ar-SA"/>
              </w:rPr>
              <w:t>word</w:t>
            </w: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>.</w:t>
            </w:r>
          </w:p>
          <w:p>
            <w:pPr>
              <w:pStyle w:val="Normal"/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5" w:color="000000"/>
              </w:pBdr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 xml:space="preserve">3. Текст действующего нормативного правового акта в формате </w:t>
            </w:r>
            <w:r>
              <w:rPr>
                <w:rFonts w:eastAsia=""/>
                <w:kern w:val="0"/>
                <w:sz w:val="24"/>
                <w:szCs w:val="24"/>
                <w:lang w:val="en-US" w:eastAsia="ru-RU" w:bidi="ar-SA"/>
              </w:rPr>
              <w:t>word</w:t>
            </w: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>.</w:t>
            </w:r>
          </w:p>
          <w:p>
            <w:pPr>
              <w:pStyle w:val="Normal"/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5" w:color="000000"/>
              </w:pBdr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 xml:space="preserve">4. Обоснование необходимости реализации предлагаемых решений посредством принятия нормативного правового акта, в том числе их влияния на конкуренцию, в формате </w:t>
            </w:r>
            <w:r>
              <w:rPr>
                <w:rFonts w:eastAsia=""/>
                <w:kern w:val="0"/>
                <w:sz w:val="24"/>
                <w:szCs w:val="24"/>
                <w:lang w:val="en-US" w:eastAsia="ru-RU" w:bidi="ar-SA"/>
              </w:rPr>
              <w:t>word</w:t>
            </w: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>.</w:t>
            </w:r>
          </w:p>
          <w:p>
            <w:pPr>
              <w:pStyle w:val="Normal"/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5" w:color="000000"/>
              </w:pBdr>
              <w:spacing w:before="0" w:after="0"/>
              <w:jc w:val="both"/>
              <w:rPr>
                <w:sz w:val="24"/>
                <w:szCs w:val="24"/>
                <w:u w:val="single"/>
              </w:rPr>
            </w:pP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 xml:space="preserve">Место размещения приложений в информационно-телекоммуникационной сети «Интернет» - официальный сайт ОМСУ Красногвардейского </w:t>
            </w: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 xml:space="preserve">муниципального округа </w:t>
            </w: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>раздел «Антимонопольный комплаенс»:</w:t>
            </w:r>
          </w:p>
          <w:p>
            <w:pPr>
              <w:pStyle w:val="Normal"/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5" w:color="000000"/>
              </w:pBdr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</w:r>
          </w:p>
        </w:tc>
      </w:tr>
      <w:tr>
        <w:trPr/>
        <w:tc>
          <w:tcPr>
            <w:tcW w:w="9747" w:type="dxa"/>
            <w:tcBorders/>
          </w:tcPr>
          <w:p>
            <w:pPr>
              <w:pStyle w:val="Normal"/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5" w:color="000000"/>
              </w:pBdr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>Контактное лицо:</w:t>
            </w:r>
          </w:p>
          <w:p>
            <w:pPr>
              <w:pStyle w:val="Normal"/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5" w:color="000000"/>
              </w:pBdr>
              <w:spacing w:before="0" w:after="0"/>
              <w:jc w:val="both"/>
              <w:rPr>
                <w:i/>
                <w:i/>
                <w:sz w:val="24"/>
                <w:szCs w:val="24"/>
              </w:rPr>
            </w:pPr>
            <w:r>
              <w:rPr>
                <w:rFonts w:eastAsia=""/>
                <w:i/>
                <w:kern w:val="0"/>
                <w:sz w:val="24"/>
                <w:szCs w:val="24"/>
                <w:lang w:val="ru-RU" w:eastAsia="ru-RU" w:bidi="ar-SA"/>
              </w:rPr>
              <w:t xml:space="preserve">Соколова Ольга Тихоновна, </w:t>
            </w:r>
            <w:r>
              <w:rPr>
                <w:rFonts w:eastAsia=""/>
                <w:i/>
                <w:kern w:val="0"/>
                <w:sz w:val="24"/>
                <w:szCs w:val="24"/>
                <w:lang w:val="ru-RU" w:eastAsia="ru-RU" w:bidi="ar-SA"/>
              </w:rPr>
              <w:t>н</w:t>
            </w:r>
            <w:r>
              <w:rPr>
                <w:rFonts w:eastAsia=""/>
                <w:i/>
                <w:kern w:val="0"/>
                <w:sz w:val="24"/>
                <w:szCs w:val="24"/>
                <w:lang w:val="ru-RU" w:eastAsia="ru-RU" w:bidi="ar-SA"/>
              </w:rPr>
              <w:t xml:space="preserve">ачальник </w:t>
            </w:r>
            <w:r>
              <w:rPr>
                <w:rFonts w:eastAsia=""/>
                <w:i/>
                <w:kern w:val="0"/>
                <w:sz w:val="24"/>
                <w:szCs w:val="24"/>
                <w:lang w:val="ru-RU" w:eastAsia="ru-RU" w:bidi="ar-SA"/>
              </w:rPr>
              <w:t xml:space="preserve">управления АПК и </w:t>
            </w:r>
            <w:r>
              <w:rPr>
                <w:rFonts w:eastAsia=""/>
                <w:i/>
                <w:kern w:val="0"/>
                <w:sz w:val="24"/>
                <w:szCs w:val="24"/>
                <w:lang w:val="ru-RU" w:eastAsia="ru-RU" w:bidi="ar-SA"/>
              </w:rPr>
              <w:t xml:space="preserve">экономического развития </w:t>
            </w:r>
            <w:r>
              <w:rPr>
                <w:rFonts w:eastAsia=""/>
                <w:i/>
                <w:kern w:val="0"/>
                <w:sz w:val="24"/>
                <w:szCs w:val="24"/>
                <w:lang w:val="ru-RU" w:eastAsia="ru-RU" w:bidi="ar-SA"/>
              </w:rPr>
              <w:t>Красногвардейского муниципального округа Администрации Красногвардейского муниципального округа</w:t>
            </w:r>
            <w:r>
              <w:rPr>
                <w:rFonts w:eastAsia=""/>
                <w:i/>
                <w:kern w:val="0"/>
                <w:sz w:val="24"/>
                <w:szCs w:val="24"/>
                <w:lang w:val="ru-RU" w:eastAsia="ru-RU" w:bidi="ar-SA"/>
              </w:rPr>
              <w:t>, (47-247) 3-</w:t>
            </w:r>
            <w:r>
              <w:rPr>
                <w:rFonts w:eastAsia=""/>
                <w:i/>
                <w:kern w:val="0"/>
                <w:sz w:val="24"/>
                <w:szCs w:val="24"/>
                <w:lang w:val="ru-RU" w:eastAsia="ru-RU" w:bidi="ar-SA"/>
              </w:rPr>
              <w:t>33</w:t>
            </w:r>
            <w:r>
              <w:rPr>
                <w:rFonts w:eastAsia=""/>
                <w:i/>
                <w:kern w:val="0"/>
                <w:sz w:val="24"/>
                <w:szCs w:val="24"/>
                <w:lang w:val="ru-RU" w:eastAsia="ru-RU" w:bidi="ar-SA"/>
              </w:rPr>
              <w:t>-</w:t>
            </w:r>
            <w:r>
              <w:rPr>
                <w:rFonts w:eastAsia=""/>
                <w:i/>
                <w:kern w:val="0"/>
                <w:sz w:val="24"/>
                <w:szCs w:val="24"/>
                <w:lang w:val="ru-RU" w:eastAsia="ru-RU" w:bidi="ar-SA"/>
              </w:rPr>
              <w:t>82</w:t>
            </w:r>
            <w:r>
              <w:rPr>
                <w:rFonts w:eastAsia=""/>
                <w:i/>
                <w:kern w:val="0"/>
                <w:sz w:val="24"/>
                <w:szCs w:val="24"/>
                <w:lang w:val="ru-RU" w:eastAsia="ru-RU" w:bidi="ar-SA"/>
              </w:rPr>
              <w:t>.</w:t>
            </w:r>
          </w:p>
          <w:p>
            <w:pPr>
              <w:pStyle w:val="Normal"/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5" w:color="000000"/>
              </w:pBdr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>Режим работы:</w:t>
            </w:r>
          </w:p>
          <w:p>
            <w:pPr>
              <w:pStyle w:val="Normal"/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5" w:color="000000"/>
              </w:pBdr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"/>
                <w:kern w:val="0"/>
                <w:sz w:val="24"/>
                <w:szCs w:val="24"/>
                <w:lang w:val="ru-RU" w:eastAsia="ru-RU" w:bidi="ar-SA"/>
              </w:rPr>
              <w:t>с 8-00 до 17-00, перерыв с 12-00 до 13-00</w:t>
            </w:r>
          </w:p>
        </w:tc>
      </w:tr>
    </w:tbl>
    <w:p>
      <w:pPr>
        <w:pStyle w:val="Normal"/>
        <w:jc w:val="center"/>
        <w:rPr>
          <w:b/>
          <w:sz w:val="28"/>
          <w:szCs w:val="28"/>
          <w:highlight w:val="yellow"/>
        </w:rPr>
      </w:pPr>
      <w:r>
        <w:rPr>
          <w:b/>
          <w:sz w:val="28"/>
          <w:szCs w:val="28"/>
          <w:highlight w:val="yellow"/>
        </w:rPr>
      </w:r>
    </w:p>
    <w:p>
      <w:pPr>
        <w:pStyle w:val="Normal"/>
        <w:jc w:val="center"/>
        <w:rPr>
          <w:b/>
          <w:sz w:val="28"/>
          <w:szCs w:val="28"/>
          <w:highlight w:val="yellow"/>
        </w:rPr>
      </w:pPr>
      <w:r>
        <w:rPr>
          <w:b/>
          <w:sz w:val="28"/>
          <w:szCs w:val="28"/>
          <w:highlight w:val="yellow"/>
        </w:rPr>
      </w:r>
    </w:p>
    <w:p>
      <w:pPr>
        <w:pStyle w:val="Normal"/>
        <w:jc w:val="center"/>
        <w:rPr>
          <w:b/>
          <w:sz w:val="28"/>
          <w:szCs w:val="28"/>
          <w:highlight w:val="yellow"/>
        </w:rPr>
      </w:pPr>
      <w:r>
        <w:rPr>
          <w:b/>
          <w:sz w:val="28"/>
          <w:szCs w:val="28"/>
          <w:highlight w:val="yellow"/>
        </w:rPr>
      </w:r>
    </w:p>
    <w:p>
      <w:pPr>
        <w:pStyle w:val="Normal"/>
        <w:jc w:val="center"/>
        <w:rPr>
          <w:b/>
          <w:sz w:val="28"/>
          <w:szCs w:val="28"/>
          <w:highlight w:val="yellow"/>
        </w:rPr>
      </w:pPr>
      <w:r>
        <w:rPr>
          <w:b/>
          <w:sz w:val="28"/>
          <w:szCs w:val="28"/>
          <w:highlight w:val="yellow"/>
        </w:rPr>
      </w:r>
    </w:p>
    <w:p>
      <w:pPr>
        <w:pStyle w:val="Normal"/>
        <w:jc w:val="center"/>
        <w:rPr>
          <w:b/>
          <w:sz w:val="28"/>
          <w:szCs w:val="28"/>
          <w:highlight w:val="yellow"/>
        </w:rPr>
      </w:pPr>
      <w:r>
        <w:rPr>
          <w:b/>
          <w:sz w:val="28"/>
          <w:szCs w:val="28"/>
          <w:highlight w:val="yellow"/>
        </w:rPr>
      </w:r>
    </w:p>
    <w:p>
      <w:pPr>
        <w:pStyle w:val="Normal"/>
        <w:jc w:val="center"/>
        <w:rPr>
          <w:b/>
          <w:sz w:val="28"/>
          <w:szCs w:val="28"/>
          <w:highlight w:val="yellow"/>
        </w:rPr>
      </w:pPr>
      <w:r>
        <w:rPr>
          <w:b/>
          <w:sz w:val="28"/>
          <w:szCs w:val="28"/>
          <w:highlight w:val="yellow"/>
        </w:rPr>
      </w:r>
    </w:p>
    <w:p>
      <w:pPr>
        <w:pStyle w:val="Normal"/>
        <w:jc w:val="right"/>
        <w:rPr>
          <w:sz w:val="28"/>
          <w:szCs w:val="28"/>
        </w:rPr>
      </w:pPr>
      <w:r>
        <w:rPr>
          <w:sz w:val="28"/>
          <w:szCs w:val="28"/>
        </w:rPr>
      </w:r>
    </w:p>
    <w:sectPr>
      <w:headerReference w:type="even" r:id="rId3"/>
      <w:headerReference w:type="default" r:id="rId4"/>
      <w:headerReference w:type="first" r:id="rId5"/>
      <w:type w:val="nextPage"/>
      <w:pgSz w:w="11906" w:h="16838"/>
      <w:pgMar w:left="1548" w:right="465" w:gutter="0" w:header="720" w:top="964" w:footer="0" w:bottom="357"/>
      <w:pgNumType w:fmt="decimal"/>
      <w:formProt w:val="false"/>
      <w:textDirection w:val="lrTb"/>
      <w:docGrid w:type="default" w:linePitch="27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Tahoma">
    <w:charset w:val="01"/>
    <w:family w:val="swiss"/>
    <w:pitch w:val="default"/>
  </w:font>
  <w:font w:name="Arial">
    <w:charset w:val="01"/>
    <w:family w:val="swiss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sdt>
      <w:sdtPr>
        <w:id w:val="482511608"/>
        <w:text/>
      </w:sdtPr>
      <w:sdtContent>
        <w:r>
          <w:rPr/>
        </w: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  <w:r>
          <w:rPr/>
        </w:r>
      </w:sdtContent>
    </w:sdt>
  </w:p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sdt>
      <w:sdtPr>
        <w:id w:val="482511608"/>
        <w:text/>
      </w:sdtPr>
      <w:sdtContent>
        <w:r>
          <w:rPr/>
        </w: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  <w:r>
          <w:rPr/>
        </w:r>
      </w:sdtContent>
    </w:sdt>
  </w:p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embedSystemFonts/>
  <w:defaultTabStop w:val="720"/>
  <w:autoHyphenation w:val="true"/>
  <w:hyphenationZone w:val="0"/>
  <w:compat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26f94"/>
    <w:pPr>
      <w:widowControl w:val="false"/>
      <w:bidi w:val="0"/>
      <w:spacing w:lineRule="auto" w:line="240" w:before="0" w:after="0"/>
      <w:jc w:val="left"/>
    </w:pPr>
    <w:rPr>
      <w:rFonts w:ascii="Times New Roman" w:hAnsi="Times New Roman" w:cs="Times New Roman" w:eastAsia="" w:eastAsiaTheme="minorEastAsia"/>
      <w:color w:val="auto"/>
      <w:kern w:val="0"/>
      <w:sz w:val="20"/>
      <w:szCs w:val="20"/>
      <w:lang w:val="ru-RU" w:eastAsia="ru-RU" w:bidi="ar-SA"/>
    </w:rPr>
  </w:style>
  <w:style w:type="paragraph" w:styleId="Heading3">
    <w:name w:val="heading 3"/>
    <w:basedOn w:val="Normal"/>
    <w:link w:val="3"/>
    <w:uiPriority w:val="9"/>
    <w:qFormat/>
    <w:rsid w:val="00152a72"/>
    <w:pPr>
      <w:widowControl/>
      <w:spacing w:beforeAutospacing="1" w:afterAutospacing="1"/>
      <w:outlineLvl w:val="2"/>
    </w:pPr>
    <w:rPr>
      <w:rFonts w:eastAsia="Times New Roman"/>
      <w:b/>
      <w:bCs/>
      <w:sz w:val="27"/>
      <w:szCs w:val="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Текст выноски Знак"/>
    <w:basedOn w:val="DefaultParagraphFont"/>
    <w:link w:val="BalloonText"/>
    <w:uiPriority w:val="99"/>
    <w:semiHidden/>
    <w:qFormat/>
    <w:rsid w:val="004455a3"/>
    <w:rPr>
      <w:rFonts w:ascii="Tahoma" w:hAnsi="Tahoma" w:cs="Tahoma"/>
      <w:sz w:val="16"/>
      <w:szCs w:val="16"/>
    </w:rPr>
  </w:style>
  <w:style w:type="character" w:styleId="10" w:customStyle="1">
    <w:name w:val="Основной текст (10)_"/>
    <w:basedOn w:val="DefaultParagraphFont"/>
    <w:link w:val="101"/>
    <w:qFormat/>
    <w:rsid w:val="003f4f93"/>
    <w:rPr>
      <w:rFonts w:ascii="Times New Roman" w:hAnsi="Times New Roman" w:eastAsia="Times New Roman" w:cs="Times New Roman"/>
      <w:b/>
      <w:bCs/>
      <w:sz w:val="28"/>
      <w:szCs w:val="28"/>
      <w:shd w:fill="FFFFFF" w:val="clear"/>
    </w:rPr>
  </w:style>
  <w:style w:type="character" w:styleId="Style14" w:customStyle="1">
    <w:name w:val="Верхний колонтитул Знак"/>
    <w:basedOn w:val="DefaultParagraphFont"/>
    <w:uiPriority w:val="99"/>
    <w:qFormat/>
    <w:rsid w:val="002855a9"/>
    <w:rPr>
      <w:rFonts w:ascii="Times New Roman" w:hAnsi="Times New Roman" w:eastAsia="Calibri" w:cs="Times New Roman"/>
      <w:sz w:val="20"/>
      <w:szCs w:val="20"/>
    </w:rPr>
  </w:style>
  <w:style w:type="character" w:styleId="Hyperlink">
    <w:name w:val="Hyperlink"/>
    <w:uiPriority w:val="99"/>
    <w:rsid w:val="002855a9"/>
    <w:rPr>
      <w:color w:val="0000FF"/>
      <w:u w:val="single"/>
    </w:rPr>
  </w:style>
  <w:style w:type="character" w:styleId="Style15" w:customStyle="1">
    <w:name w:val="Основной текст Знак"/>
    <w:basedOn w:val="DefaultParagraphFont"/>
    <w:semiHidden/>
    <w:qFormat/>
    <w:rsid w:val="00ca2084"/>
    <w:rPr>
      <w:rFonts w:ascii="Arial" w:hAnsi="Arial" w:eastAsia="Times New Roman" w:cs="Times New Roman"/>
      <w:sz w:val="24"/>
      <w:szCs w:val="24"/>
    </w:rPr>
  </w:style>
  <w:style w:type="character" w:styleId="2" w:customStyle="1">
    <w:name w:val="Основной текст 2 Знак"/>
    <w:basedOn w:val="DefaultParagraphFont"/>
    <w:link w:val="BodyText2"/>
    <w:semiHidden/>
    <w:qFormat/>
    <w:rsid w:val="00ca2084"/>
    <w:rPr>
      <w:rFonts w:ascii="Times New Roman" w:hAnsi="Times New Roman" w:eastAsia="Times New Roman" w:cs="Times New Roman"/>
      <w:sz w:val="24"/>
      <w:szCs w:val="24"/>
    </w:rPr>
  </w:style>
  <w:style w:type="character" w:styleId="Style16" w:customStyle="1">
    <w:name w:val="Нижний колонтитул Знак"/>
    <w:basedOn w:val="DefaultParagraphFont"/>
    <w:uiPriority w:val="99"/>
    <w:semiHidden/>
    <w:qFormat/>
    <w:rsid w:val="00a32d11"/>
    <w:rPr>
      <w:rFonts w:ascii="Times New Roman" w:hAnsi="Times New Roman" w:cs="Times New Roman"/>
      <w:sz w:val="20"/>
      <w:szCs w:val="20"/>
    </w:rPr>
  </w:style>
  <w:style w:type="character" w:styleId="3" w:customStyle="1">
    <w:name w:val="Заголовок 3 Знак"/>
    <w:basedOn w:val="DefaultParagraphFont"/>
    <w:uiPriority w:val="9"/>
    <w:qFormat/>
    <w:rsid w:val="00152a72"/>
    <w:rPr>
      <w:rFonts w:ascii="Times New Roman" w:hAnsi="Times New Roman" w:eastAsia="Times New Roman" w:cs="Times New Roman"/>
      <w:b/>
      <w:bCs/>
      <w:sz w:val="27"/>
      <w:szCs w:val="27"/>
    </w:rPr>
  </w:style>
  <w:style w:type="character" w:styleId="dropdown-user-namefirst-letter" w:customStyle="1">
    <w:name w:val="dropdown-user-name__first-letter"/>
    <w:basedOn w:val="DefaultParagraphFont"/>
    <w:qFormat/>
    <w:rsid w:val="006f0c52"/>
    <w:rPr/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BodyText">
    <w:name w:val="Body Text"/>
    <w:basedOn w:val="Normal"/>
    <w:link w:val="Style15"/>
    <w:semiHidden/>
    <w:unhideWhenUsed/>
    <w:rsid w:val="00ca2084"/>
    <w:pPr>
      <w:widowControl/>
      <w:spacing w:before="0" w:after="120"/>
    </w:pPr>
    <w:rPr>
      <w:rFonts w:ascii="Arial" w:hAnsi="Arial" w:eastAsia="Times New Roman"/>
      <w:sz w:val="24"/>
      <w:szCs w:val="24"/>
    </w:rPr>
  </w:style>
  <w:style w:type="paragraph" w:styleId="List">
    <w:name w:val="List"/>
    <w:basedOn w:val="BodyText"/>
    <w:pPr/>
    <w:rPr>
      <w:rFonts w:ascii="PT Astra Serif" w:hAnsi="PT Astra Serif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BalloonText">
    <w:name w:val="Balloon Text"/>
    <w:basedOn w:val="Normal"/>
    <w:link w:val="Style13"/>
    <w:uiPriority w:val="99"/>
    <w:semiHidden/>
    <w:unhideWhenUsed/>
    <w:qFormat/>
    <w:rsid w:val="004455a3"/>
    <w:pPr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9d4414"/>
    <w:pPr>
      <w:widowControl w:val="false"/>
      <w:bidi w:val="0"/>
      <w:spacing w:lineRule="auto" w:line="240" w:before="0" w:after="0"/>
      <w:jc w:val="left"/>
    </w:pPr>
    <w:rPr>
      <w:rFonts w:ascii="Times New Roman" w:hAnsi="Times New Roman" w:cs="Times New Roman" w:eastAsia="" w:eastAsiaTheme="minorEastAsia"/>
      <w:color w:val="auto"/>
      <w:kern w:val="0"/>
      <w:sz w:val="20"/>
      <w:szCs w:val="20"/>
      <w:lang w:val="ru-RU" w:eastAsia="ru-RU" w:bidi="ar-SA"/>
    </w:rPr>
  </w:style>
  <w:style w:type="paragraph" w:styleId="101" w:customStyle="1">
    <w:name w:val="Основной текст (10)"/>
    <w:basedOn w:val="Normal"/>
    <w:link w:val="10"/>
    <w:qFormat/>
    <w:rsid w:val="003f4f93"/>
    <w:pPr>
      <w:shd w:val="clear" w:color="auto" w:fill="FFFFFF"/>
      <w:spacing w:lineRule="exact" w:line="317" w:before="1080" w:after="780"/>
      <w:jc w:val="both"/>
    </w:pPr>
    <w:rPr>
      <w:rFonts w:eastAsia="Times New Roman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2855a9"/>
    <w:pPr>
      <w:widowControl/>
      <w:spacing w:before="0" w:after="0"/>
      <w:ind w:left="720"/>
      <w:contextualSpacing/>
    </w:pPr>
    <w:rPr>
      <w:rFonts w:eastAsia="Calibri"/>
    </w:rPr>
  </w:style>
  <w:style w:type="paragraph" w:styleId="ConsPlusNormal" w:customStyle="1">
    <w:name w:val="ConsPlusNormal"/>
    <w:qFormat/>
    <w:rsid w:val="002855a9"/>
    <w:pPr>
      <w:widowControl/>
      <w:bidi w:val="0"/>
      <w:spacing w:lineRule="auto" w:line="240" w:before="0" w:after="0"/>
      <w:jc w:val="left"/>
    </w:pPr>
    <w:rPr>
      <w:rFonts w:ascii="Arial" w:hAnsi="Arial" w:eastAsia="Calibri" w:cs="Arial"/>
      <w:color w:val="auto"/>
      <w:kern w:val="0"/>
      <w:sz w:val="20"/>
      <w:szCs w:val="20"/>
      <w:lang w:val="ru-RU" w:eastAsia="ru-RU" w:bidi="ar-SA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2855a9"/>
    <w:pPr>
      <w:widowControl/>
      <w:tabs>
        <w:tab w:val="clear" w:pos="720"/>
        <w:tab w:val="center" w:pos="4677" w:leader="none"/>
        <w:tab w:val="right" w:pos="9355" w:leader="none"/>
      </w:tabs>
    </w:pPr>
    <w:rPr>
      <w:rFonts w:eastAsia="Calibri"/>
    </w:rPr>
  </w:style>
  <w:style w:type="paragraph" w:styleId="BodyText2">
    <w:name w:val="Body Text 2"/>
    <w:basedOn w:val="Normal"/>
    <w:link w:val="2"/>
    <w:semiHidden/>
    <w:unhideWhenUsed/>
    <w:qFormat/>
    <w:rsid w:val="00ca2084"/>
    <w:pPr>
      <w:widowControl/>
      <w:spacing w:lineRule="auto" w:line="480" w:before="0" w:after="120"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Style16"/>
    <w:uiPriority w:val="99"/>
    <w:semiHidden/>
    <w:unhideWhenUsed/>
    <w:rsid w:val="00a32d11"/>
    <w:pPr>
      <w:tabs>
        <w:tab w:val="clear" w:pos="720"/>
        <w:tab w:val="center" w:pos="4677" w:leader="none"/>
        <w:tab w:val="right" w:pos="9355" w:leader="none"/>
      </w:tabs>
    </w:pPr>
    <w:rPr/>
  </w:style>
  <w:style w:type="numbering" w:styleId="Style19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3f4f9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ekonomika.statmo30@yandex.ru" TargetMode="External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Application>LibreOffice/24.8.4.2$Linux_X86_64 LibreOffice_project/480$Build-2</Application>
  <AppVersion>15.0000</AppVersion>
  <Pages>1</Pages>
  <Words>313</Words>
  <Characters>2317</Characters>
  <CharactersWithSpaces>2611</CharactersWithSpaces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2019-12-16T08:52:00Z</dcterms:created>
  <dc:creator>Rubcov</dc:creator>
  <dc:description/>
  <dc:language>ru-RU</dc:language>
  <cp:lastModifiedBy/>
  <cp:lastPrinted>2019-08-23T07:45:00Z</cp:lastPrinted>
  <dcterms:modified xsi:type="dcterms:W3CDTF">2026-04-23T16:17:31Z</dcterms:modified>
  <cp:revision>38</cp:revision>
  <dc:subject/>
  <dc:title>JPG To PDF http://www.JPGPDF.net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